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C3A68" w14:textId="56198969" w:rsidR="0077678D" w:rsidRDefault="0077678D" w:rsidP="0077678D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Оценка</w:t>
      </w:r>
    </w:p>
    <w:p w14:paraId="5E9C2028" w14:textId="2CB974FC" w:rsidR="0077678D" w:rsidRDefault="0077678D" w:rsidP="0077678D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 w:rsidRPr="007A782A">
        <w:rPr>
          <w:rFonts w:ascii="Times New Roman" w:hAnsi="Times New Roman"/>
          <w:color w:val="0070C0"/>
          <w:lang w:val="ru-RU"/>
        </w:rPr>
        <w:t xml:space="preserve">удовлетворённости </w:t>
      </w:r>
      <w:r>
        <w:rPr>
          <w:rFonts w:ascii="Times New Roman" w:hAnsi="Times New Roman"/>
          <w:color w:val="0070C0"/>
          <w:lang w:val="ru-RU"/>
        </w:rPr>
        <w:t xml:space="preserve">педагогов </w:t>
      </w:r>
      <w:r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>
        <w:rPr>
          <w:rFonts w:ascii="Times New Roman" w:hAnsi="Times New Roman"/>
          <w:color w:val="0070C0"/>
          <w:lang w:val="ru-RU"/>
        </w:rPr>
        <w:t>ой</w:t>
      </w:r>
      <w:r w:rsidRPr="007A782A">
        <w:rPr>
          <w:rFonts w:ascii="Times New Roman" w:hAnsi="Times New Roman"/>
          <w:color w:val="0070C0"/>
          <w:lang w:val="ru-RU"/>
        </w:rPr>
        <w:t xml:space="preserve"> услуг</w:t>
      </w:r>
      <w:r>
        <w:rPr>
          <w:rFonts w:ascii="Times New Roman" w:hAnsi="Times New Roman"/>
          <w:color w:val="0070C0"/>
          <w:lang w:val="ru-RU"/>
        </w:rPr>
        <w:t>и</w:t>
      </w:r>
    </w:p>
    <w:p w14:paraId="268A7719" w14:textId="77777777" w:rsidR="0077678D" w:rsidRDefault="0077678D" w:rsidP="00776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07C862" w14:textId="3569DC72" w:rsidR="0077678D" w:rsidRPr="00F5681D" w:rsidRDefault="0077678D" w:rsidP="007767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проведены социологические исследования на 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 xml:space="preserve">удовлетворенности </w:t>
      </w:r>
      <w:r w:rsidRPr="00FA270D">
        <w:rPr>
          <w:rFonts w:ascii="Times New Roman" w:hAnsi="Times New Roman"/>
          <w:sz w:val="28"/>
          <w:szCs w:val="28"/>
        </w:rPr>
        <w:t>педагогов</w:t>
      </w:r>
      <w:r w:rsidRPr="00D31EBE">
        <w:rPr>
          <w:rFonts w:ascii="Times New Roman" w:hAnsi="Times New Roman"/>
          <w:sz w:val="28"/>
          <w:szCs w:val="28"/>
        </w:rPr>
        <w:t xml:space="preserve"> комплексностью и системностью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работы техникума по сохранению и укреплению здоровья. В обследовании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 xml:space="preserve">приняли </w:t>
      </w:r>
      <w:r>
        <w:rPr>
          <w:rFonts w:ascii="Times New Roman" w:hAnsi="Times New Roman"/>
          <w:sz w:val="28"/>
          <w:szCs w:val="28"/>
        </w:rPr>
        <w:t>73 педагога</w:t>
      </w:r>
      <w:r>
        <w:rPr>
          <w:rFonts w:ascii="Times New Roman" w:hAnsi="Times New Roman"/>
          <w:sz w:val="28"/>
          <w:szCs w:val="28"/>
        </w:rPr>
        <w:t xml:space="preserve"> (90% от общей численности педагогических работников)</w:t>
      </w:r>
      <w:bookmarkStart w:id="0" w:name="_GoBack"/>
      <w:bookmarkEnd w:id="0"/>
      <w:r w:rsidRPr="00F5681D">
        <w:rPr>
          <w:rFonts w:ascii="Times New Roman" w:hAnsi="Times New Roman"/>
          <w:sz w:val="28"/>
          <w:szCs w:val="28"/>
        </w:rPr>
        <w:t>.</w:t>
      </w:r>
    </w:p>
    <w:p w14:paraId="2A9F2A53" w14:textId="65B59518" w:rsidR="0077678D" w:rsidRPr="00F5681D" w:rsidRDefault="0077678D" w:rsidP="007767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93309" wp14:editId="42A24172">
                <wp:simplePos x="0" y="0"/>
                <wp:positionH relativeFrom="column">
                  <wp:posOffset>1534795</wp:posOffset>
                </wp:positionH>
                <wp:positionV relativeFrom="paragraph">
                  <wp:posOffset>181610</wp:posOffset>
                </wp:positionV>
                <wp:extent cx="2431415" cy="429260"/>
                <wp:effectExtent l="0" t="0" r="2413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53EC5" w14:textId="77777777" w:rsidR="0077678D" w:rsidRPr="00D31EBE" w:rsidRDefault="0077678D" w:rsidP="0077678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Результаты опроса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педагогов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B9330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20.85pt;margin-top:14.3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" strokecolor="windowText">
                <v:textbox style="mso-fit-shape-to-text:t">
                  <w:txbxContent>
                    <w:p w14:paraId="35153EC5" w14:textId="77777777" w:rsidR="0077678D" w:rsidRPr="00D31EBE" w:rsidRDefault="0077678D" w:rsidP="0077678D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Результаты опроса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педагогов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7277A02" w14:textId="77777777" w:rsidR="0077678D" w:rsidRDefault="0077678D" w:rsidP="007767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0807FFD" w14:textId="77777777" w:rsidR="0077678D" w:rsidRDefault="0077678D" w:rsidP="00776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AB78B" w14:textId="25ACCEA6" w:rsidR="0077678D" w:rsidRPr="00D66FD6" w:rsidRDefault="0077678D" w:rsidP="00776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88F">
        <w:rPr>
          <w:noProof/>
          <w:lang w:eastAsia="ru-RU"/>
        </w:rPr>
        <w:drawing>
          <wp:inline distT="0" distB="0" distL="0" distR="0" wp14:anchorId="55E7B4F0" wp14:editId="1C6D3C3E">
            <wp:extent cx="5486400" cy="320040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22036E7" w14:textId="77777777" w:rsidR="0077678D" w:rsidRPr="00D66FD6" w:rsidRDefault="0077678D" w:rsidP="0077678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8E6EDF9" w14:textId="77777777" w:rsidR="0077678D" w:rsidRDefault="0077678D" w:rsidP="0077678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5681D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77678D" w:rsidRPr="00F5681D" w14:paraId="5EBE5504" w14:textId="77777777" w:rsidTr="00B259E1">
        <w:tc>
          <w:tcPr>
            <w:tcW w:w="959" w:type="dxa"/>
            <w:shd w:val="clear" w:color="auto" w:fill="auto"/>
          </w:tcPr>
          <w:p w14:paraId="3E4429D3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58054F41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77678D" w:rsidRPr="00F5681D" w14:paraId="78B37C74" w14:textId="77777777" w:rsidTr="00B259E1">
        <w:tc>
          <w:tcPr>
            <w:tcW w:w="959" w:type="dxa"/>
            <w:shd w:val="clear" w:color="auto" w:fill="auto"/>
          </w:tcPr>
          <w:p w14:paraId="46D06394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4388F889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рабочего помещения техникума</w:t>
            </w:r>
          </w:p>
        </w:tc>
      </w:tr>
      <w:tr w:rsidR="0077678D" w:rsidRPr="00F5681D" w14:paraId="71986359" w14:textId="77777777" w:rsidTr="00B259E1">
        <w:tc>
          <w:tcPr>
            <w:tcW w:w="959" w:type="dxa"/>
            <w:shd w:val="clear" w:color="auto" w:fill="auto"/>
          </w:tcPr>
          <w:p w14:paraId="18BA626F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415EEC34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заработной платой</w:t>
            </w:r>
          </w:p>
        </w:tc>
      </w:tr>
      <w:tr w:rsidR="0077678D" w:rsidRPr="00F5681D" w14:paraId="0B4C0E4C" w14:textId="77777777" w:rsidTr="00B259E1">
        <w:tc>
          <w:tcPr>
            <w:tcW w:w="959" w:type="dxa"/>
            <w:shd w:val="clear" w:color="auto" w:fill="auto"/>
          </w:tcPr>
          <w:p w14:paraId="7E285313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6C0808F2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сформированным научно-методическим обеспечением техникума   </w:t>
            </w:r>
          </w:p>
        </w:tc>
      </w:tr>
      <w:tr w:rsidR="0077678D" w:rsidRPr="00F5681D" w14:paraId="237D4161" w14:textId="77777777" w:rsidTr="00B259E1">
        <w:tc>
          <w:tcPr>
            <w:tcW w:w="959" w:type="dxa"/>
            <w:shd w:val="clear" w:color="auto" w:fill="auto"/>
          </w:tcPr>
          <w:p w14:paraId="7FCD401D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002195D2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социально-психологическим климатом техникума  </w:t>
            </w:r>
          </w:p>
        </w:tc>
      </w:tr>
      <w:tr w:rsidR="0077678D" w:rsidRPr="00F5681D" w14:paraId="6DFD23C6" w14:textId="77777777" w:rsidTr="00B259E1">
        <w:tc>
          <w:tcPr>
            <w:tcW w:w="959" w:type="dxa"/>
            <w:shd w:val="clear" w:color="auto" w:fill="auto"/>
          </w:tcPr>
          <w:p w14:paraId="1741E089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554FB5C5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учебной нагрузкой преподавателя</w:t>
            </w:r>
          </w:p>
        </w:tc>
      </w:tr>
      <w:tr w:rsidR="0077678D" w:rsidRPr="00F5681D" w14:paraId="679516A0" w14:textId="77777777" w:rsidTr="00B259E1">
        <w:tc>
          <w:tcPr>
            <w:tcW w:w="959" w:type="dxa"/>
            <w:shd w:val="clear" w:color="auto" w:fill="auto"/>
          </w:tcPr>
          <w:p w14:paraId="235261A3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2A7863B0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рабочим расписанием преподавателя  </w:t>
            </w:r>
          </w:p>
        </w:tc>
      </w:tr>
      <w:tr w:rsidR="0077678D" w:rsidRPr="00F5681D" w14:paraId="732E50B8" w14:textId="77777777" w:rsidTr="00B259E1">
        <w:tc>
          <w:tcPr>
            <w:tcW w:w="959" w:type="dxa"/>
            <w:shd w:val="clear" w:color="auto" w:fill="auto"/>
          </w:tcPr>
          <w:p w14:paraId="5D91E119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8612" w:type="dxa"/>
            <w:shd w:val="clear" w:color="auto" w:fill="auto"/>
          </w:tcPr>
          <w:p w14:paraId="40756847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предоставляемых услуг столовой техникума  </w:t>
            </w:r>
          </w:p>
        </w:tc>
      </w:tr>
      <w:tr w:rsidR="0077678D" w:rsidRPr="00F5681D" w14:paraId="21254584" w14:textId="77777777" w:rsidTr="00B259E1">
        <w:tc>
          <w:tcPr>
            <w:tcW w:w="959" w:type="dxa"/>
            <w:shd w:val="clear" w:color="auto" w:fill="auto"/>
          </w:tcPr>
          <w:p w14:paraId="52DB9662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4D250B09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 </w:t>
            </w:r>
          </w:p>
        </w:tc>
      </w:tr>
      <w:tr w:rsidR="0077678D" w:rsidRPr="00F5681D" w14:paraId="7E563AA9" w14:textId="77777777" w:rsidTr="00B259E1">
        <w:tc>
          <w:tcPr>
            <w:tcW w:w="959" w:type="dxa"/>
            <w:shd w:val="clear" w:color="auto" w:fill="auto"/>
          </w:tcPr>
          <w:p w14:paraId="2DE8AC5A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5228B28A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материально-техническим состоянием рабочего помещения техникума</w:t>
            </w:r>
          </w:p>
        </w:tc>
      </w:tr>
      <w:tr w:rsidR="0077678D" w:rsidRPr="00F5681D" w14:paraId="7FBBD4B9" w14:textId="77777777" w:rsidTr="00B259E1">
        <w:tc>
          <w:tcPr>
            <w:tcW w:w="959" w:type="dxa"/>
            <w:shd w:val="clear" w:color="auto" w:fill="auto"/>
          </w:tcPr>
          <w:p w14:paraId="4D156020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481599D8" w14:textId="77777777" w:rsidR="0077678D" w:rsidRPr="0034472C" w:rsidRDefault="0077678D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работой информационных порталов (ЭПОС, </w:t>
            </w:r>
            <w:proofErr w:type="spellStart"/>
            <w:r w:rsidRPr="0034472C">
              <w:rPr>
                <w:rFonts w:ascii="Times New Roman" w:hAnsi="Times New Roman"/>
                <w:sz w:val="24"/>
                <w:szCs w:val="24"/>
              </w:rPr>
              <w:t>Сферум</w:t>
            </w:r>
            <w:proofErr w:type="spellEnd"/>
            <w:r w:rsidRPr="003447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63DCB491" w14:textId="77777777" w:rsidR="0077678D" w:rsidRDefault="0077678D" w:rsidP="00776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080627" w14:textId="77777777" w:rsidR="0077678D" w:rsidRPr="00E67B1A" w:rsidRDefault="0077678D" w:rsidP="0077678D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E67B1A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3FE0DA17" w14:textId="1134B850" w:rsidR="0077678D" w:rsidRPr="00F5681D" w:rsidRDefault="0077678D" w:rsidP="007767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>1.По результатам анализа ответов преподавателей выявлен высокий уровень удовлетворенности качеством образовательных условий в ГБПОУ «ПТПИТ им. Б.Г.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681D">
        <w:rPr>
          <w:rFonts w:ascii="Times New Roman" w:hAnsi="Times New Roman"/>
          <w:sz w:val="28"/>
          <w:szCs w:val="28"/>
        </w:rPr>
        <w:t>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учебный год. </w:t>
      </w:r>
    </w:p>
    <w:p w14:paraId="301B689E" w14:textId="77777777" w:rsidR="0077678D" w:rsidRDefault="0077678D" w:rsidP="007767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lastRenderedPageBreak/>
        <w:t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улучшению разнообразия и качества пищи столовой техникума</w:t>
      </w:r>
      <w:r>
        <w:rPr>
          <w:rFonts w:ascii="Times New Roman" w:hAnsi="Times New Roman"/>
          <w:sz w:val="28"/>
          <w:szCs w:val="28"/>
        </w:rPr>
        <w:t>.</w:t>
      </w:r>
    </w:p>
    <w:p w14:paraId="08D8EE4A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5FA"/>
    <w:rsid w:val="003A25FA"/>
    <w:rsid w:val="0077678D"/>
    <w:rsid w:val="00EA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8325"/>
  <w15:chartTrackingRefBased/>
  <w15:docId w15:val="{84B1FAC7-6CD8-449E-89DF-29FBFD34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78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77678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678D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strRef>
              <c:f>Лист1!$A$2:$A$11</c:f>
              <c:strCache>
                <c:ptCount val="10"/>
                <c:pt idx="0">
                  <c:v>Сан.-гиг. Состояние</c:v>
                </c:pt>
                <c:pt idx="1">
                  <c:v>Заработная плата</c:v>
                </c:pt>
                <c:pt idx="2">
                  <c:v>Науч.-метод обесп.</c:v>
                </c:pt>
                <c:pt idx="3">
                  <c:v>Соц.-псих. климат</c:v>
                </c:pt>
                <c:pt idx="4">
                  <c:v>Учеб.нагрузка</c:v>
                </c:pt>
                <c:pt idx="5">
                  <c:v>Раб.расписание</c:v>
                </c:pt>
                <c:pt idx="6">
                  <c:v>Столовая</c:v>
                </c:pt>
                <c:pt idx="7">
                  <c:v>Безопасность</c:v>
                </c:pt>
                <c:pt idx="8">
                  <c:v>Мат.-тех.база</c:v>
                </c:pt>
                <c:pt idx="9">
                  <c:v>Эпос,Сферум</c:v>
                </c:pt>
              </c:strCache>
            </c:strRef>
          </c:cat>
          <c:val>
            <c:numRef>
              <c:f>Лист1!$B$2:$B$11</c:f>
              <c:numCache>
                <c:formatCode>\О\с\н\о\в\н\о\й</c:formatCode>
                <c:ptCount val="10"/>
                <c:pt idx="0">
                  <c:v>89</c:v>
                </c:pt>
                <c:pt idx="1">
                  <c:v>79.5</c:v>
                </c:pt>
                <c:pt idx="2">
                  <c:v>80.8</c:v>
                </c:pt>
                <c:pt idx="3">
                  <c:v>84.9</c:v>
                </c:pt>
                <c:pt idx="4">
                  <c:v>89</c:v>
                </c:pt>
                <c:pt idx="5">
                  <c:v>87.7</c:v>
                </c:pt>
                <c:pt idx="6">
                  <c:v>69.900000000000006</c:v>
                </c:pt>
                <c:pt idx="7">
                  <c:v>97.3</c:v>
                </c:pt>
                <c:pt idx="8">
                  <c:v>82.2</c:v>
                </c:pt>
                <c:pt idx="9">
                  <c:v>83.6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FC-4A66-BAFF-7E44B527209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Сан.-гиг. Состояние</c:v>
                </c:pt>
                <c:pt idx="1">
                  <c:v>Заработная плата</c:v>
                </c:pt>
                <c:pt idx="2">
                  <c:v>Науч.-метод обесп.</c:v>
                </c:pt>
                <c:pt idx="3">
                  <c:v>Соц.-псих. климат</c:v>
                </c:pt>
                <c:pt idx="4">
                  <c:v>Учеб.нагрузка</c:v>
                </c:pt>
                <c:pt idx="5">
                  <c:v>Раб.расписание</c:v>
                </c:pt>
                <c:pt idx="6">
                  <c:v>Столовая</c:v>
                </c:pt>
                <c:pt idx="7">
                  <c:v>Безопасность</c:v>
                </c:pt>
                <c:pt idx="8">
                  <c:v>Мат.-тех.база</c:v>
                </c:pt>
                <c:pt idx="9">
                  <c:v>Эпос,Сферум</c:v>
                </c:pt>
              </c:strCache>
            </c:strRef>
          </c:cat>
          <c:val>
            <c:numRef>
              <c:f>Лист1!$C$2:$C$11</c:f>
              <c:numCache>
                <c:formatCode>\О\с\н\о\в\н\о\й</c:formatCode>
                <c:ptCount val="10"/>
                <c:pt idx="0">
                  <c:v>11</c:v>
                </c:pt>
                <c:pt idx="1">
                  <c:v>20.5</c:v>
                </c:pt>
                <c:pt idx="2">
                  <c:v>19.2</c:v>
                </c:pt>
                <c:pt idx="3">
                  <c:v>15.1</c:v>
                </c:pt>
                <c:pt idx="4">
                  <c:v>11</c:v>
                </c:pt>
                <c:pt idx="5">
                  <c:v>12.3</c:v>
                </c:pt>
                <c:pt idx="6">
                  <c:v>30.1</c:v>
                </c:pt>
                <c:pt idx="7">
                  <c:v>2.7</c:v>
                </c:pt>
                <c:pt idx="8">
                  <c:v>17.8</c:v>
                </c:pt>
                <c:pt idx="9">
                  <c:v>16.399999999999999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FFC-4A66-BAFF-7E44B52720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407696"/>
        <c:axId val="1"/>
      </c:barChart>
      <c:catAx>
        <c:axId val="22340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100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crossAx val="223407696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90726969199521446"/>
          <c:y val="0.19014701383186"/>
          <c:w val="7.4211810096176167E-2"/>
          <c:h val="0.14351512809365086"/>
        </c:manualLayout>
      </c:layout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0.10417</cdr:x>
      <cdr:y>0.49802</cdr:y>
    </cdr:from>
    <cdr:to>
      <cdr:x>0.98033</cdr:x>
      <cdr:y>0.49802</cdr:y>
    </cdr:to>
    <cdr:cxnSp macro="">
      <cdr:nvCxnSpPr>
        <cdr:cNvPr id="3" name="Прямая соединительная линия 2">
          <a:extLst xmlns:a="http://schemas.openxmlformats.org/drawingml/2006/main">
            <a:ext uri="{FF2B5EF4-FFF2-40B4-BE49-F238E27FC236}">
              <a16:creationId xmlns:a16="http://schemas.microsoft.com/office/drawing/2014/main" id="{AB94A569-9170-4F69-B135-45DC86AAF088}"/>
            </a:ext>
          </a:extLst>
        </cdr:cNvPr>
        <cdr:cNvCxnSpPr/>
      </cdr:nvCxnSpPr>
      <cdr:spPr>
        <a:xfrm xmlns:a="http://schemas.openxmlformats.org/drawingml/2006/main">
          <a:off x="571497" y="1593851"/>
          <a:ext cx="4806964" cy="0"/>
        </a:xfrm>
        <a:prstGeom xmlns:a="http://schemas.openxmlformats.org/drawingml/2006/main" prst="line">
          <a:avLst/>
        </a:prstGeom>
        <a:ln xmlns:a="http://schemas.openxmlformats.org/drawingml/2006/main" w="19050"/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2025-04-17T12:35:00Z</dcterms:created>
  <dcterms:modified xsi:type="dcterms:W3CDTF">2025-04-17T12:39:00Z</dcterms:modified>
</cp:coreProperties>
</file>