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299B75EA" w:rsidR="00EC0FD8" w:rsidRDefault="00564661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>
        <w:rPr>
          <w:rFonts w:ascii="Times New Roman" w:hAnsi="Times New Roman"/>
          <w:color w:val="0070C0"/>
          <w:lang w:val="ru-RU"/>
        </w:rPr>
        <w:t>13.01.10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>
        <w:rPr>
          <w:rFonts w:ascii="Times New Roman" w:hAnsi="Times New Roman"/>
          <w:color w:val="0070C0"/>
          <w:lang w:val="ru-RU"/>
        </w:rPr>
        <w:t>Электромонтер по ремонту и обслуживанию электрооборудования (по отраслям</w:t>
      </w:r>
      <w:r w:rsidR="001D60E7">
        <w:rPr>
          <w:rFonts w:ascii="Times New Roman" w:hAnsi="Times New Roman"/>
          <w:color w:val="0070C0"/>
          <w:lang w:val="ru-RU"/>
        </w:rPr>
        <w:t xml:space="preserve">)»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562EF295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1D60E7">
        <w:rPr>
          <w:rFonts w:ascii="Times New Roman" w:hAnsi="Times New Roman"/>
          <w:sz w:val="28"/>
          <w:szCs w:val="28"/>
        </w:rPr>
        <w:t>73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1D60E7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1D60E7" w:rsidRPr="001D60E7">
        <w:rPr>
          <w:rFonts w:ascii="Times New Roman" w:hAnsi="Times New Roman"/>
          <w:sz w:val="28"/>
          <w:szCs w:val="28"/>
        </w:rPr>
        <w:t>профессии 13.01.10 «Электромонтер по ремонту и обслуживанию электрооборудования (по отраслям)»</w:t>
      </w:r>
      <w:r w:rsidR="000A7A4D">
        <w:rPr>
          <w:rFonts w:ascii="Times New Roman" w:hAnsi="Times New Roman"/>
          <w:sz w:val="28"/>
          <w:szCs w:val="28"/>
        </w:rPr>
        <w:t>.</w:t>
      </w:r>
      <w:r w:rsidR="000A7A4D" w:rsidRPr="000A7A4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31DFDEE2" w:rsidR="00EC0FD8" w:rsidRDefault="001D60E7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747653E6" wp14:editId="7A7D898D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3C8F94D9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равномерность учебной нагрузки среди дней недели.</w:t>
      </w:r>
      <w:bookmarkStart w:id="0" w:name="_GoBack"/>
      <w:bookmarkEnd w:id="0"/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D60E7"/>
    <w:rsid w:val="0049401C"/>
    <w:rsid w:val="00564661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65</c:v>
                </c:pt>
                <c:pt idx="1">
                  <c:v>68</c:v>
                </c:pt>
                <c:pt idx="2">
                  <c:v>62</c:v>
                </c:pt>
                <c:pt idx="3">
                  <c:v>66</c:v>
                </c:pt>
                <c:pt idx="4">
                  <c:v>65</c:v>
                </c:pt>
                <c:pt idx="5">
                  <c:v>70</c:v>
                </c:pt>
                <c:pt idx="6">
                  <c:v>68</c:v>
                </c:pt>
                <c:pt idx="7">
                  <c:v>73</c:v>
                </c:pt>
                <c:pt idx="8">
                  <c:v>63</c:v>
                </c:pt>
                <c:pt idx="9">
                  <c:v>66</c:v>
                </c:pt>
                <c:pt idx="10">
                  <c:v>70</c:v>
                </c:pt>
                <c:pt idx="11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E1-4756-9C62-D3FADB81B2D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8</c:v>
                </c:pt>
                <c:pt idx="1">
                  <c:v>5</c:v>
                </c:pt>
                <c:pt idx="2">
                  <c:v>11</c:v>
                </c:pt>
                <c:pt idx="3">
                  <c:v>7</c:v>
                </c:pt>
                <c:pt idx="4">
                  <c:v>8</c:v>
                </c:pt>
                <c:pt idx="5">
                  <c:v>3</c:v>
                </c:pt>
                <c:pt idx="6">
                  <c:v>5</c:v>
                </c:pt>
                <c:pt idx="7">
                  <c:v>0</c:v>
                </c:pt>
                <c:pt idx="8">
                  <c:v>10</c:v>
                </c:pt>
                <c:pt idx="9">
                  <c:v>13</c:v>
                </c:pt>
                <c:pt idx="10">
                  <c:v>3</c:v>
                </c:pt>
                <c:pt idx="1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E1-4756-9C62-D3FADB81B2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1596032"/>
        <c:axId val="361597568"/>
      </c:barChart>
      <c:catAx>
        <c:axId val="361596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61597568"/>
        <c:crosses val="autoZero"/>
        <c:auto val="1"/>
        <c:lblAlgn val="ctr"/>
        <c:lblOffset val="100"/>
        <c:noMultiLvlLbl val="0"/>
      </c:catAx>
      <c:valAx>
        <c:axId val="361597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15960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2025-04-17T11:53:00Z</dcterms:created>
  <dcterms:modified xsi:type="dcterms:W3CDTF">2025-04-17T11:56:00Z</dcterms:modified>
</cp:coreProperties>
</file>